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57" w:type="dxa"/>
          <w:right w:w="57" w:type="dxa"/>
        </w:tblCellMar>
        <w:tblLook w:val="0000" w:firstRow="0" w:lastRow="0" w:firstColumn="0" w:lastColumn="0" w:noHBand="0" w:noVBand="0"/>
      </w:tblPr>
      <w:tblGrid>
        <w:gridCol w:w="9184"/>
      </w:tblGrid>
      <w:tr w:rsidR="00BE103C" w:rsidRPr="00BE103C" w:rsidTr="00DA40B9">
        <w:trPr>
          <w:cantSplit/>
          <w:trHeight w:val="635"/>
        </w:trPr>
        <w:tc>
          <w:tcPr>
            <w:tcW w:w="9184" w:type="dxa"/>
            <w:tcBorders>
              <w:top w:val="nil"/>
              <w:left w:val="nil"/>
              <w:bottom w:val="nil"/>
              <w:right w:val="nil"/>
            </w:tcBorders>
          </w:tcPr>
          <w:p w:rsidR="00DA40B9" w:rsidRPr="00BE103C" w:rsidRDefault="00DA40B9" w:rsidP="00DA40B9">
            <w:pPr>
              <w:pStyle w:val="berschrift1"/>
              <w:jc w:val="center"/>
              <w:rPr>
                <w:rFonts w:ascii="Arial" w:hAnsi="Arial" w:cs="Arial"/>
                <w:color w:val="000000" w:themeColor="text1"/>
              </w:rPr>
            </w:pPr>
            <w:r w:rsidRPr="00BE103C">
              <w:rPr>
                <w:rFonts w:ascii="Arial" w:hAnsi="Arial" w:cs="Arial"/>
                <w:color w:val="000000" w:themeColor="text1"/>
                <w:sz w:val="22"/>
                <w:szCs w:val="22"/>
              </w:rPr>
              <w:t>Merkblatt zur schriftlichen Stimmabgabe</w:t>
            </w:r>
          </w:p>
          <w:p w:rsidR="00DA40B9" w:rsidRPr="00BE103C" w:rsidRDefault="00DA40B9" w:rsidP="00DA40B9">
            <w:pPr>
              <w:jc w:val="center"/>
              <w:rPr>
                <w:rFonts w:ascii="Arial" w:hAnsi="Arial" w:cs="Arial"/>
                <w:b/>
                <w:bCs/>
                <w:color w:val="000000" w:themeColor="text1"/>
                <w:sz w:val="22"/>
                <w:szCs w:val="22"/>
              </w:rPr>
            </w:pPr>
          </w:p>
        </w:tc>
      </w:tr>
      <w:tr w:rsidR="00BE103C" w:rsidRPr="00BE103C" w:rsidTr="00DA40B9">
        <w:trPr>
          <w:cantSplit/>
        </w:trPr>
        <w:tc>
          <w:tcPr>
            <w:tcW w:w="9184" w:type="dxa"/>
            <w:tcBorders>
              <w:top w:val="nil"/>
              <w:left w:val="nil"/>
              <w:bottom w:val="nil"/>
              <w:right w:val="nil"/>
            </w:tcBorders>
          </w:tcPr>
          <w:p w:rsidR="00DA40B9" w:rsidRPr="00BE103C"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ind w:left="432" w:hanging="432"/>
              <w:jc w:val="both"/>
              <w:rPr>
                <w:rFonts w:ascii="Arial" w:hAnsi="Arial" w:cs="Arial"/>
                <w:color w:val="000000" w:themeColor="text1"/>
                <w:sz w:val="22"/>
                <w:szCs w:val="22"/>
              </w:rPr>
            </w:pPr>
            <w:r w:rsidRPr="00BE103C">
              <w:rPr>
                <w:rFonts w:ascii="Arial" w:hAnsi="Arial" w:cs="Arial"/>
                <w:color w:val="000000" w:themeColor="text1"/>
                <w:sz w:val="22"/>
                <w:szCs w:val="22"/>
              </w:rPr>
              <w:t>a)</w:t>
            </w:r>
            <w:r w:rsidRPr="00BE103C">
              <w:rPr>
                <w:rFonts w:ascii="Arial" w:hAnsi="Arial" w:cs="Arial"/>
                <w:color w:val="000000" w:themeColor="text1"/>
                <w:sz w:val="22"/>
                <w:szCs w:val="22"/>
              </w:rPr>
              <w:tab/>
              <w:t>Die Wahlberechtigten, die zum Zeitpunkt der Wahl verhindert sind, die Stimme persönlich abzugeben, können ihr Wahlrecht im Wege der Briefwahl ausüben. Zu diesem Zweck werden diesen Wahlberechtigten</w:t>
            </w:r>
          </w:p>
          <w:p w:rsidR="00DA40B9" w:rsidRPr="00BE103C"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jc w:val="both"/>
              <w:rPr>
                <w:rFonts w:ascii="Arial" w:hAnsi="Arial" w:cs="Arial"/>
                <w:color w:val="000000" w:themeColor="text1"/>
                <w:sz w:val="22"/>
                <w:szCs w:val="22"/>
              </w:rPr>
            </w:pPr>
          </w:p>
          <w:p w:rsidR="00DA40B9" w:rsidRPr="00BE103C"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ind w:left="864" w:hanging="432"/>
              <w:jc w:val="both"/>
              <w:rPr>
                <w:rFonts w:ascii="Arial" w:hAnsi="Arial" w:cs="Arial"/>
                <w:color w:val="000000" w:themeColor="text1"/>
                <w:sz w:val="22"/>
                <w:szCs w:val="22"/>
              </w:rPr>
            </w:pPr>
            <w:r w:rsidRPr="00BE103C">
              <w:rPr>
                <w:rFonts w:ascii="Arial" w:hAnsi="Arial" w:cs="Arial"/>
                <w:color w:val="000000" w:themeColor="text1"/>
                <w:sz w:val="22"/>
                <w:szCs w:val="22"/>
              </w:rPr>
              <w:t>1.</w:t>
            </w:r>
            <w:r w:rsidRPr="00BE103C">
              <w:rPr>
                <w:rFonts w:ascii="Arial" w:hAnsi="Arial" w:cs="Arial"/>
                <w:color w:val="000000" w:themeColor="text1"/>
                <w:sz w:val="22"/>
                <w:szCs w:val="22"/>
              </w:rPr>
              <w:tab/>
              <w:t>die Stimmzettel und der Wahlumschlag,</w:t>
            </w:r>
          </w:p>
          <w:p w:rsidR="00DA40B9" w:rsidRPr="00BE103C"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jc w:val="both"/>
              <w:rPr>
                <w:rFonts w:ascii="Arial" w:hAnsi="Arial" w:cs="Arial"/>
                <w:color w:val="000000" w:themeColor="text1"/>
                <w:sz w:val="22"/>
                <w:szCs w:val="22"/>
              </w:rPr>
            </w:pPr>
          </w:p>
          <w:p w:rsidR="00DA40B9" w:rsidRPr="00BE103C"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ind w:left="864" w:hanging="432"/>
              <w:jc w:val="both"/>
              <w:rPr>
                <w:rFonts w:ascii="Arial" w:hAnsi="Arial" w:cs="Arial"/>
                <w:color w:val="000000" w:themeColor="text1"/>
                <w:sz w:val="22"/>
                <w:szCs w:val="22"/>
              </w:rPr>
            </w:pPr>
            <w:r w:rsidRPr="00BE103C">
              <w:rPr>
                <w:rFonts w:ascii="Arial" w:hAnsi="Arial" w:cs="Arial"/>
                <w:color w:val="000000" w:themeColor="text1"/>
                <w:sz w:val="22"/>
                <w:szCs w:val="22"/>
              </w:rPr>
              <w:t>2.</w:t>
            </w:r>
            <w:r w:rsidRPr="00BE103C">
              <w:rPr>
                <w:rFonts w:ascii="Arial" w:hAnsi="Arial" w:cs="Arial"/>
                <w:color w:val="000000" w:themeColor="text1"/>
                <w:sz w:val="22"/>
                <w:szCs w:val="22"/>
              </w:rPr>
              <w:tab/>
              <w:t>eine vorgedruckte, vom Wähler (Briefwähler) abzugebende Erklärung, in der dieser gegenüber dem örtlichen Wahlvorstand versichert, dass er den Stimmzettel persönlich gekennzeichnet hat oder, soweit unter den Voraussetzungen des §16</w:t>
            </w:r>
            <w:r w:rsidR="00FF23AA" w:rsidRPr="00BE103C">
              <w:rPr>
                <w:rFonts w:ascii="Arial" w:hAnsi="Arial" w:cs="Arial"/>
                <w:color w:val="000000" w:themeColor="text1"/>
                <w:sz w:val="22"/>
                <w:szCs w:val="22"/>
              </w:rPr>
              <w:t> </w:t>
            </w:r>
            <w:r w:rsidRPr="00BE103C">
              <w:rPr>
                <w:rFonts w:ascii="Arial" w:hAnsi="Arial" w:cs="Arial"/>
                <w:color w:val="000000" w:themeColor="text1"/>
                <w:sz w:val="22"/>
                <w:szCs w:val="22"/>
              </w:rPr>
              <w:t>Abs.</w:t>
            </w:r>
            <w:r w:rsidR="00FF23AA" w:rsidRPr="00BE103C">
              <w:rPr>
                <w:rFonts w:ascii="Arial" w:hAnsi="Arial" w:cs="Arial"/>
                <w:color w:val="000000" w:themeColor="text1"/>
                <w:sz w:val="22"/>
                <w:szCs w:val="22"/>
              </w:rPr>
              <w:t> </w:t>
            </w:r>
            <w:proofErr w:type="spellStart"/>
            <w:r w:rsidR="00FF23AA" w:rsidRPr="00BE103C">
              <w:rPr>
                <w:rFonts w:ascii="Arial" w:hAnsi="Arial" w:cs="Arial"/>
                <w:color w:val="000000" w:themeColor="text1"/>
                <w:sz w:val="22"/>
                <w:szCs w:val="22"/>
              </w:rPr>
              <w:t>S</w:t>
            </w:r>
            <w:r w:rsidRPr="00BE103C">
              <w:rPr>
                <w:rFonts w:ascii="Arial" w:hAnsi="Arial" w:cs="Arial"/>
                <w:color w:val="000000" w:themeColor="text1"/>
                <w:sz w:val="22"/>
                <w:szCs w:val="22"/>
              </w:rPr>
              <w:t>ächsPersVWVO</w:t>
            </w:r>
            <w:proofErr w:type="spellEnd"/>
            <w:r w:rsidRPr="00BE103C">
              <w:rPr>
                <w:rFonts w:ascii="Arial" w:hAnsi="Arial" w:cs="Arial"/>
                <w:color w:val="000000" w:themeColor="text1"/>
                <w:sz w:val="22"/>
                <w:szCs w:val="22"/>
              </w:rPr>
              <w:t xml:space="preserve"> erforderlich, durch eine Person seines Vertrauens hat kennzeichnen lassen sowie</w:t>
            </w:r>
          </w:p>
          <w:p w:rsidR="00DA40B9" w:rsidRPr="00BE103C"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jc w:val="both"/>
              <w:rPr>
                <w:rFonts w:ascii="Arial" w:hAnsi="Arial" w:cs="Arial"/>
                <w:color w:val="000000" w:themeColor="text1"/>
                <w:sz w:val="22"/>
                <w:szCs w:val="22"/>
              </w:rPr>
            </w:pPr>
          </w:p>
          <w:p w:rsidR="00DA40B9" w:rsidRPr="00BE103C" w:rsidRDefault="00DA40B9" w:rsidP="00DA40B9">
            <w:pPr>
              <w:pStyle w:val="Listenabsatz"/>
              <w:numPr>
                <w:ilvl w:val="0"/>
                <w:numId w:val="1"/>
              </w:num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jc w:val="both"/>
              <w:rPr>
                <w:rFonts w:ascii="Arial" w:hAnsi="Arial" w:cs="Arial"/>
                <w:color w:val="000000" w:themeColor="text1"/>
                <w:sz w:val="22"/>
                <w:szCs w:val="22"/>
              </w:rPr>
            </w:pPr>
            <w:r w:rsidRPr="00BE103C">
              <w:rPr>
                <w:rFonts w:ascii="Arial" w:hAnsi="Arial" w:cs="Arial"/>
                <w:color w:val="000000" w:themeColor="text1"/>
                <w:sz w:val="22"/>
                <w:szCs w:val="22"/>
              </w:rPr>
              <w:t>ein größerer Freiumschlag, der die Anschrift des Wahlvorstands sowie den Vermerk "Briefwahl" trägt,</w:t>
            </w:r>
          </w:p>
          <w:p w:rsidR="00DA40B9" w:rsidRPr="00BE103C"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ind w:left="432" w:hanging="432"/>
              <w:jc w:val="both"/>
              <w:rPr>
                <w:rFonts w:ascii="Arial" w:hAnsi="Arial" w:cs="Arial"/>
                <w:color w:val="000000" w:themeColor="text1"/>
                <w:sz w:val="22"/>
                <w:szCs w:val="22"/>
              </w:rPr>
            </w:pPr>
          </w:p>
          <w:p w:rsidR="00DA40B9" w:rsidRPr="00BE103C" w:rsidRDefault="00DA40B9" w:rsidP="00DA40B9">
            <w:pPr>
              <w:numPr>
                <w:ilvl w:val="0"/>
                <w:numId w:val="1"/>
              </w:num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jc w:val="both"/>
              <w:rPr>
                <w:rFonts w:ascii="Arial" w:hAnsi="Arial" w:cs="Arial"/>
                <w:color w:val="000000" w:themeColor="text1"/>
                <w:sz w:val="22"/>
                <w:szCs w:val="22"/>
              </w:rPr>
            </w:pPr>
            <w:r w:rsidRPr="00BE103C">
              <w:rPr>
                <w:rFonts w:ascii="Arial" w:hAnsi="Arial" w:cs="Arial"/>
                <w:color w:val="000000" w:themeColor="text1"/>
                <w:sz w:val="22"/>
                <w:szCs w:val="22"/>
              </w:rPr>
              <w:t>ein Merkblatt über die Art und Weise der Briefwahl</w:t>
            </w:r>
          </w:p>
          <w:p w:rsidR="00DA40B9" w:rsidRPr="00BE103C"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jc w:val="both"/>
              <w:rPr>
                <w:rFonts w:ascii="Arial" w:hAnsi="Arial" w:cs="Arial"/>
                <w:color w:val="000000" w:themeColor="text1"/>
                <w:sz w:val="22"/>
                <w:szCs w:val="22"/>
              </w:rPr>
            </w:pPr>
          </w:p>
          <w:p w:rsidR="00DA40B9" w:rsidRPr="00BE103C"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ind w:left="432"/>
              <w:jc w:val="both"/>
              <w:rPr>
                <w:rFonts w:ascii="Arial" w:hAnsi="Arial" w:cs="Arial"/>
                <w:color w:val="000000" w:themeColor="text1"/>
                <w:sz w:val="22"/>
                <w:szCs w:val="22"/>
              </w:rPr>
            </w:pPr>
            <w:r w:rsidRPr="00BE103C">
              <w:rPr>
                <w:rFonts w:ascii="Arial" w:hAnsi="Arial" w:cs="Arial"/>
                <w:color w:val="000000" w:themeColor="text1"/>
                <w:sz w:val="22"/>
                <w:szCs w:val="22"/>
              </w:rPr>
              <w:t>übersandt.</w:t>
            </w:r>
          </w:p>
          <w:p w:rsidR="00DA40B9" w:rsidRPr="00BE103C" w:rsidRDefault="00DA40B9" w:rsidP="00DA40B9">
            <w:pPr>
              <w:tabs>
                <w:tab w:val="left" w:pos="-1020"/>
                <w:tab w:val="left" w:pos="-680"/>
                <w:tab w:val="left" w:pos="-339"/>
                <w:tab w:val="left" w:pos="0"/>
                <w:tab w:val="left" w:pos="339"/>
                <w:tab w:val="left" w:pos="826"/>
                <w:tab w:val="left" w:pos="1360"/>
                <w:tab w:val="left" w:pos="1700"/>
                <w:tab w:val="left" w:pos="2187"/>
                <w:tab w:val="left" w:pos="2868"/>
                <w:tab w:val="left" w:pos="3208"/>
                <w:tab w:val="left" w:pos="4580"/>
                <w:tab w:val="left" w:pos="5022"/>
                <w:tab w:val="left" w:pos="5300"/>
                <w:tab w:val="left" w:pos="6020"/>
                <w:tab w:val="left" w:pos="6740"/>
                <w:tab w:val="left" w:pos="7460"/>
                <w:tab w:val="left" w:pos="8180"/>
                <w:tab w:val="left" w:pos="8900"/>
              </w:tabs>
              <w:spacing w:line="243" w:lineRule="auto"/>
              <w:jc w:val="both"/>
              <w:rPr>
                <w:rFonts w:ascii="Arial" w:hAnsi="Arial" w:cs="Arial"/>
                <w:color w:val="000000" w:themeColor="text1"/>
                <w:sz w:val="22"/>
                <w:szCs w:val="22"/>
                <w:vertAlign w:val="superscript"/>
              </w:rPr>
            </w:pPr>
          </w:p>
        </w:tc>
      </w:tr>
      <w:tr w:rsidR="00BE103C" w:rsidRPr="00BE103C" w:rsidTr="00DA40B9">
        <w:trPr>
          <w:cantSplit/>
        </w:trPr>
        <w:tc>
          <w:tcPr>
            <w:tcW w:w="9184" w:type="dxa"/>
            <w:tcBorders>
              <w:top w:val="nil"/>
              <w:left w:val="nil"/>
              <w:bottom w:val="nil"/>
              <w:right w:val="nil"/>
            </w:tcBorders>
          </w:tcPr>
          <w:p w:rsidR="00DA40B9" w:rsidRPr="00BE103C"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ind w:left="432" w:hanging="432"/>
              <w:jc w:val="both"/>
              <w:rPr>
                <w:rFonts w:ascii="Arial" w:hAnsi="Arial" w:cs="Arial"/>
                <w:color w:val="000000" w:themeColor="text1"/>
                <w:sz w:val="22"/>
                <w:szCs w:val="22"/>
              </w:rPr>
            </w:pPr>
            <w:r w:rsidRPr="00BE103C">
              <w:rPr>
                <w:rFonts w:ascii="Arial" w:hAnsi="Arial" w:cs="Arial"/>
                <w:color w:val="000000" w:themeColor="text1"/>
                <w:sz w:val="22"/>
                <w:szCs w:val="22"/>
              </w:rPr>
              <w:t>b)</w:t>
            </w:r>
            <w:r w:rsidRPr="00BE103C">
              <w:rPr>
                <w:rFonts w:ascii="Arial" w:hAnsi="Arial" w:cs="Arial"/>
                <w:color w:val="000000" w:themeColor="text1"/>
                <w:sz w:val="22"/>
                <w:szCs w:val="22"/>
              </w:rPr>
              <w:tab/>
              <w:t>Der Wähler gibt seine Stimme in der Weise ab, dass er</w:t>
            </w:r>
          </w:p>
          <w:p w:rsidR="00DA40B9" w:rsidRPr="00BE103C"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jc w:val="both"/>
              <w:rPr>
                <w:rFonts w:ascii="Arial" w:hAnsi="Arial" w:cs="Arial"/>
                <w:color w:val="000000" w:themeColor="text1"/>
                <w:sz w:val="22"/>
                <w:szCs w:val="22"/>
              </w:rPr>
            </w:pPr>
          </w:p>
          <w:p w:rsidR="00DA40B9" w:rsidRPr="00BE103C"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ind w:left="864" w:hanging="432"/>
              <w:jc w:val="both"/>
              <w:rPr>
                <w:rFonts w:ascii="Arial" w:hAnsi="Arial" w:cs="Arial"/>
                <w:color w:val="000000" w:themeColor="text1"/>
                <w:sz w:val="22"/>
                <w:szCs w:val="22"/>
              </w:rPr>
            </w:pPr>
            <w:r w:rsidRPr="00BE103C">
              <w:rPr>
                <w:rFonts w:ascii="Arial" w:hAnsi="Arial" w:cs="Arial"/>
                <w:color w:val="000000" w:themeColor="text1"/>
                <w:sz w:val="22"/>
                <w:szCs w:val="22"/>
              </w:rPr>
              <w:t>1.</w:t>
            </w:r>
            <w:r w:rsidRPr="00BE103C">
              <w:rPr>
                <w:rFonts w:ascii="Arial" w:hAnsi="Arial" w:cs="Arial"/>
                <w:color w:val="000000" w:themeColor="text1"/>
                <w:sz w:val="22"/>
                <w:szCs w:val="22"/>
              </w:rPr>
              <w:tab/>
              <w:t>die Stimmzettel unbeobachtet persönlich kennzeichnet und in den Wahlumschlag legt,</w:t>
            </w:r>
          </w:p>
          <w:p w:rsidR="00DA40B9" w:rsidRPr="00BE103C"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jc w:val="both"/>
              <w:rPr>
                <w:rFonts w:ascii="Arial" w:hAnsi="Arial" w:cs="Arial"/>
                <w:color w:val="000000" w:themeColor="text1"/>
                <w:sz w:val="22"/>
                <w:szCs w:val="22"/>
              </w:rPr>
            </w:pPr>
          </w:p>
          <w:p w:rsidR="00DA40B9" w:rsidRPr="00BE103C"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ind w:left="864" w:hanging="432"/>
              <w:jc w:val="both"/>
              <w:rPr>
                <w:rFonts w:ascii="Arial" w:hAnsi="Arial" w:cs="Arial"/>
                <w:color w:val="000000" w:themeColor="text1"/>
                <w:sz w:val="22"/>
                <w:szCs w:val="22"/>
              </w:rPr>
            </w:pPr>
            <w:r w:rsidRPr="00BE103C">
              <w:rPr>
                <w:rFonts w:ascii="Arial" w:hAnsi="Arial" w:cs="Arial"/>
                <w:color w:val="000000" w:themeColor="text1"/>
                <w:sz w:val="22"/>
                <w:szCs w:val="22"/>
              </w:rPr>
              <w:t>2.</w:t>
            </w:r>
            <w:r w:rsidRPr="00BE103C">
              <w:rPr>
                <w:rFonts w:ascii="Arial" w:hAnsi="Arial" w:cs="Arial"/>
                <w:color w:val="000000" w:themeColor="text1"/>
                <w:sz w:val="22"/>
                <w:szCs w:val="22"/>
              </w:rPr>
              <w:tab/>
              <w:t>die vorgedruckte Erklärung unter Angabe des Ortes und des Datums unterschreibt,</w:t>
            </w:r>
          </w:p>
          <w:p w:rsidR="00DA40B9" w:rsidRPr="00BE103C"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jc w:val="both"/>
              <w:rPr>
                <w:rFonts w:ascii="Arial" w:hAnsi="Arial" w:cs="Arial"/>
                <w:color w:val="000000" w:themeColor="text1"/>
                <w:sz w:val="22"/>
                <w:szCs w:val="22"/>
              </w:rPr>
            </w:pPr>
          </w:p>
          <w:p w:rsidR="00DA40B9" w:rsidRPr="00BE103C" w:rsidRDefault="00DA40B9" w:rsidP="00DA40B9">
            <w:pPr>
              <w:numPr>
                <w:ilvl w:val="0"/>
                <w:numId w:val="2"/>
              </w:num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jc w:val="both"/>
              <w:rPr>
                <w:rFonts w:ascii="Arial" w:hAnsi="Arial" w:cs="Arial"/>
                <w:color w:val="000000" w:themeColor="text1"/>
                <w:sz w:val="22"/>
                <w:szCs w:val="22"/>
              </w:rPr>
            </w:pPr>
            <w:r w:rsidRPr="00BE103C">
              <w:rPr>
                <w:rFonts w:ascii="Arial" w:hAnsi="Arial" w:cs="Arial"/>
                <w:color w:val="000000" w:themeColor="text1"/>
                <w:sz w:val="22"/>
                <w:szCs w:val="22"/>
              </w:rPr>
              <w:t>den Wahlumschlag, in den der/die Stimmzettel gelegt wurde, und hiervon getrennt die unterschriebene Erklärung in dem zugegangenen Freiumschlag verschließt und diesen so rechtzeitig an den Wahlvorstand absendet oder übergibt, dass er vor Abschluss der Stimmabgabe vorliegt und</w:t>
            </w:r>
          </w:p>
          <w:p w:rsidR="00DA40B9" w:rsidRPr="00BE103C"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ind w:left="432" w:hanging="432"/>
              <w:jc w:val="both"/>
              <w:rPr>
                <w:rFonts w:ascii="Arial" w:hAnsi="Arial" w:cs="Arial"/>
                <w:color w:val="000000" w:themeColor="text1"/>
                <w:sz w:val="22"/>
                <w:szCs w:val="22"/>
              </w:rPr>
            </w:pPr>
          </w:p>
          <w:p w:rsidR="00DA40B9" w:rsidRPr="00BE103C" w:rsidRDefault="00DA40B9" w:rsidP="00DA40B9">
            <w:pPr>
              <w:numPr>
                <w:ilvl w:val="0"/>
                <w:numId w:val="2"/>
              </w:num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jc w:val="both"/>
              <w:rPr>
                <w:rFonts w:ascii="Arial" w:hAnsi="Arial" w:cs="Arial"/>
                <w:color w:val="000000" w:themeColor="text1"/>
                <w:sz w:val="22"/>
                <w:szCs w:val="22"/>
              </w:rPr>
            </w:pPr>
            <w:r w:rsidRPr="00BE103C">
              <w:rPr>
                <w:rFonts w:ascii="Arial" w:hAnsi="Arial" w:cs="Arial"/>
                <w:color w:val="000000" w:themeColor="text1"/>
                <w:sz w:val="22"/>
                <w:szCs w:val="22"/>
              </w:rPr>
              <w:t>auf dem äußeren Umschlag seinen Namen und seine Anschrift angibt.</w:t>
            </w:r>
            <w:r w:rsidR="002F0ABB" w:rsidRPr="00BE103C">
              <w:rPr>
                <w:rFonts w:ascii="Arial" w:hAnsi="Arial" w:cs="Arial"/>
                <w:color w:val="000000" w:themeColor="text1"/>
                <w:sz w:val="22"/>
                <w:szCs w:val="22"/>
              </w:rPr>
              <w:t xml:space="preserve"> (§ 17 Abs. 3 Nr. 3 Satz 2 SächsPersVWVO)</w:t>
            </w:r>
          </w:p>
          <w:p w:rsidR="00DA40B9" w:rsidRPr="00BE103C" w:rsidRDefault="00DA40B9" w:rsidP="00DA40B9">
            <w:pPr>
              <w:tabs>
                <w:tab w:val="left" w:pos="-1020"/>
                <w:tab w:val="left" w:pos="-680"/>
                <w:tab w:val="left" w:pos="-339"/>
                <w:tab w:val="left" w:pos="0"/>
                <w:tab w:val="left" w:pos="339"/>
                <w:tab w:val="left" w:pos="826"/>
                <w:tab w:val="left" w:pos="1360"/>
                <w:tab w:val="left" w:pos="1700"/>
                <w:tab w:val="left" w:pos="2187"/>
                <w:tab w:val="left" w:pos="2868"/>
                <w:tab w:val="left" w:pos="3208"/>
                <w:tab w:val="left" w:pos="4580"/>
                <w:tab w:val="left" w:pos="5022"/>
                <w:tab w:val="left" w:pos="5300"/>
                <w:tab w:val="left" w:pos="6020"/>
                <w:tab w:val="left" w:pos="6740"/>
                <w:tab w:val="left" w:pos="7460"/>
                <w:tab w:val="left" w:pos="8180"/>
                <w:tab w:val="left" w:pos="8900"/>
              </w:tabs>
              <w:spacing w:line="243" w:lineRule="auto"/>
              <w:jc w:val="both"/>
              <w:rPr>
                <w:rFonts w:ascii="Arial" w:hAnsi="Arial" w:cs="Arial"/>
                <w:color w:val="000000" w:themeColor="text1"/>
                <w:sz w:val="22"/>
                <w:szCs w:val="22"/>
              </w:rPr>
            </w:pPr>
          </w:p>
        </w:tc>
      </w:tr>
      <w:tr w:rsidR="00DA40B9" w:rsidRPr="00BE103C" w:rsidTr="00DA40B9">
        <w:trPr>
          <w:cantSplit/>
        </w:trPr>
        <w:tc>
          <w:tcPr>
            <w:tcW w:w="9184" w:type="dxa"/>
            <w:tcBorders>
              <w:top w:val="nil"/>
              <w:left w:val="nil"/>
              <w:bottom w:val="nil"/>
              <w:right w:val="nil"/>
            </w:tcBorders>
          </w:tcPr>
          <w:p w:rsidR="00DA40B9" w:rsidRPr="00BE103C"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ind w:left="432" w:hanging="432"/>
              <w:jc w:val="both"/>
              <w:rPr>
                <w:rFonts w:ascii="Arial" w:hAnsi="Arial" w:cs="Arial"/>
                <w:color w:val="000000" w:themeColor="text1"/>
                <w:sz w:val="22"/>
                <w:szCs w:val="22"/>
              </w:rPr>
            </w:pPr>
          </w:p>
          <w:p w:rsidR="00DA40B9" w:rsidRPr="00BE103C"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ind w:left="432" w:hanging="432"/>
              <w:jc w:val="both"/>
              <w:rPr>
                <w:rFonts w:ascii="Arial" w:hAnsi="Arial" w:cs="Arial"/>
                <w:color w:val="000000" w:themeColor="text1"/>
                <w:sz w:val="22"/>
                <w:szCs w:val="22"/>
              </w:rPr>
            </w:pPr>
            <w:r w:rsidRPr="00BE103C">
              <w:rPr>
                <w:rFonts w:ascii="Arial" w:hAnsi="Arial" w:cs="Arial"/>
                <w:color w:val="000000" w:themeColor="text1"/>
                <w:sz w:val="22"/>
                <w:szCs w:val="22"/>
              </w:rPr>
              <w:t>c)</w:t>
            </w:r>
            <w:r w:rsidRPr="00BE103C">
              <w:rPr>
                <w:rFonts w:ascii="Arial" w:hAnsi="Arial" w:cs="Arial"/>
                <w:color w:val="000000" w:themeColor="text1"/>
                <w:sz w:val="22"/>
                <w:szCs w:val="22"/>
              </w:rPr>
              <w:tab/>
              <w:t>Sonderregelung für Wähler, die durch körperliches Gebrechen in der Stimmabgabe behindert sind (§ 16 Abs. 5 SächsPersVWVO).</w:t>
            </w:r>
          </w:p>
          <w:p w:rsidR="00DA40B9" w:rsidRPr="00BE103C"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jc w:val="both"/>
              <w:rPr>
                <w:rFonts w:ascii="Arial" w:hAnsi="Arial" w:cs="Arial"/>
                <w:color w:val="000000" w:themeColor="text1"/>
                <w:sz w:val="22"/>
                <w:szCs w:val="22"/>
              </w:rPr>
            </w:pPr>
          </w:p>
          <w:p w:rsidR="00DA40B9" w:rsidRPr="00BE103C" w:rsidRDefault="00DA40B9"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ind w:left="432"/>
              <w:jc w:val="both"/>
              <w:rPr>
                <w:rFonts w:ascii="Arial" w:hAnsi="Arial" w:cs="Arial"/>
                <w:color w:val="000000" w:themeColor="text1"/>
                <w:sz w:val="22"/>
                <w:szCs w:val="22"/>
              </w:rPr>
            </w:pPr>
            <w:r w:rsidRPr="00BE103C">
              <w:rPr>
                <w:rFonts w:ascii="Arial" w:hAnsi="Arial" w:cs="Arial"/>
                <w:color w:val="000000" w:themeColor="text1"/>
                <w:sz w:val="22"/>
                <w:szCs w:val="22"/>
              </w:rPr>
              <w:t>Ein Wähler, der durch körperliches Gebrechen in der Stimmabgabe behindert ist, bestimmt eine Person seines Vertrauens, derer er sich bei der Stimmabgabe bedienen will, und gibt dies dem Wahlvorstand bekannt. Die Hilfeleistung hat sich auf die Erfüllung der Wünsche des Wählers zur Stimmabgabe zu beschränken. Die Vertrauensperson ist zur Geheimhaltung der Kenntnisse verpflichtet, die sie bei der Hilfeleistung von der Wahl eines anderen erlangt hat.</w:t>
            </w:r>
          </w:p>
          <w:p w:rsidR="002F0ABB" w:rsidRPr="00BE103C" w:rsidRDefault="002F0ABB"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ind w:left="432"/>
              <w:jc w:val="both"/>
              <w:rPr>
                <w:rFonts w:ascii="Arial" w:hAnsi="Arial" w:cs="Arial"/>
                <w:color w:val="000000" w:themeColor="text1"/>
                <w:sz w:val="22"/>
                <w:szCs w:val="22"/>
              </w:rPr>
            </w:pPr>
          </w:p>
          <w:p w:rsidR="002F0ABB" w:rsidRPr="00BE103C" w:rsidRDefault="002F0ABB" w:rsidP="00DA40B9">
            <w:pPr>
              <w:tabs>
                <w:tab w:val="left" w:pos="-1440"/>
                <w:tab w:val="left" w:pos="-720"/>
                <w:tab w:val="left" w:pos="-432"/>
                <w:tab w:val="left" w:pos="0"/>
                <w:tab w:val="left" w:pos="432"/>
                <w:tab w:val="left" w:pos="864"/>
                <w:tab w:val="left" w:pos="1296"/>
                <w:tab w:val="left" w:pos="1728"/>
                <w:tab w:val="left" w:pos="2160"/>
                <w:tab w:val="left" w:pos="2592"/>
                <w:tab w:val="left" w:pos="3024"/>
                <w:tab w:val="left" w:pos="3456"/>
                <w:tab w:val="left" w:pos="3888"/>
                <w:tab w:val="left" w:pos="4320"/>
                <w:tab w:val="left" w:pos="5040"/>
                <w:tab w:val="left" w:pos="5760"/>
                <w:tab w:val="left" w:pos="6480"/>
                <w:tab w:val="left" w:pos="7200"/>
                <w:tab w:val="left" w:pos="7920"/>
                <w:tab w:val="left" w:pos="8640"/>
              </w:tabs>
              <w:spacing w:line="233" w:lineRule="auto"/>
              <w:ind w:left="432"/>
              <w:jc w:val="both"/>
              <w:rPr>
                <w:rFonts w:ascii="Arial" w:hAnsi="Arial" w:cs="Arial"/>
                <w:color w:val="000000" w:themeColor="text1"/>
                <w:sz w:val="22"/>
                <w:szCs w:val="22"/>
              </w:rPr>
            </w:pPr>
            <w:r w:rsidRPr="00BE103C">
              <w:rPr>
                <w:rFonts w:ascii="Arial" w:hAnsi="Arial" w:cs="Arial"/>
                <w:color w:val="000000" w:themeColor="text1"/>
                <w:sz w:val="22"/>
                <w:szCs w:val="22"/>
              </w:rPr>
              <w:t>Das Sächsische Personalvertretungsrecht (SächsPersVG) und die Wahlordnung zum Sächsische</w:t>
            </w:r>
            <w:r w:rsidR="006D0AD6" w:rsidRPr="00BE103C">
              <w:rPr>
                <w:rFonts w:ascii="Arial" w:hAnsi="Arial" w:cs="Arial"/>
                <w:color w:val="000000" w:themeColor="text1"/>
                <w:sz w:val="22"/>
                <w:szCs w:val="22"/>
              </w:rPr>
              <w:t>n</w:t>
            </w:r>
            <w:r w:rsidRPr="00BE103C">
              <w:rPr>
                <w:rFonts w:ascii="Arial" w:hAnsi="Arial" w:cs="Arial"/>
                <w:color w:val="000000" w:themeColor="text1"/>
                <w:sz w:val="22"/>
                <w:szCs w:val="22"/>
              </w:rPr>
              <w:t xml:space="preserve"> Personalvertretungsrecht (SächsPersVWVO) sind in der aktuellen Fassung im Intranet unter News eingestellt. Die</w:t>
            </w:r>
            <w:r w:rsidR="006D0AD6" w:rsidRPr="00BE103C">
              <w:rPr>
                <w:rFonts w:ascii="Arial" w:hAnsi="Arial" w:cs="Arial"/>
                <w:color w:val="000000" w:themeColor="text1"/>
                <w:sz w:val="22"/>
                <w:szCs w:val="22"/>
              </w:rPr>
              <w:t xml:space="preserve"> Gewährleistung der geheimen Stimmabgabe wird in § 18 SächsPersVWVO geregelt und so angewandt.</w:t>
            </w:r>
          </w:p>
          <w:p w:rsidR="00DA40B9" w:rsidRPr="00BE103C" w:rsidRDefault="00DA40B9" w:rsidP="00DA40B9">
            <w:pPr>
              <w:tabs>
                <w:tab w:val="left" w:pos="-1020"/>
                <w:tab w:val="left" w:pos="-680"/>
                <w:tab w:val="left" w:pos="-339"/>
                <w:tab w:val="left" w:pos="0"/>
                <w:tab w:val="left" w:pos="339"/>
                <w:tab w:val="left" w:pos="826"/>
                <w:tab w:val="left" w:pos="1360"/>
                <w:tab w:val="left" w:pos="1700"/>
                <w:tab w:val="left" w:pos="2641"/>
                <w:tab w:val="left" w:pos="2868"/>
                <w:tab w:val="left" w:pos="3208"/>
                <w:tab w:val="left" w:pos="4580"/>
                <w:tab w:val="left" w:pos="5022"/>
                <w:tab w:val="left" w:pos="5300"/>
                <w:tab w:val="left" w:pos="6020"/>
                <w:tab w:val="left" w:pos="6740"/>
                <w:tab w:val="left" w:pos="7460"/>
                <w:tab w:val="left" w:pos="8180"/>
                <w:tab w:val="left" w:pos="8900"/>
              </w:tabs>
              <w:spacing w:line="243" w:lineRule="auto"/>
              <w:jc w:val="both"/>
              <w:rPr>
                <w:rFonts w:ascii="Arial" w:hAnsi="Arial" w:cs="Arial"/>
                <w:color w:val="000000" w:themeColor="text1"/>
                <w:sz w:val="22"/>
                <w:szCs w:val="22"/>
              </w:rPr>
            </w:pPr>
          </w:p>
        </w:tc>
      </w:tr>
    </w:tbl>
    <w:p w:rsidR="00D23149" w:rsidRPr="00BE103C" w:rsidRDefault="00D23149">
      <w:pPr>
        <w:rPr>
          <w:color w:val="000000" w:themeColor="text1"/>
        </w:rPr>
      </w:pPr>
      <w:bookmarkStart w:id="0" w:name="_GoBack"/>
      <w:bookmarkEnd w:id="0"/>
    </w:p>
    <w:sectPr w:rsidR="00D23149" w:rsidRPr="00BE10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772F0"/>
    <w:multiLevelType w:val="multilevel"/>
    <w:tmpl w:val="AD227EE0"/>
    <w:lvl w:ilvl="0">
      <w:start w:val="3"/>
      <w:numFmt w:val="decimal"/>
      <w:lvlText w:val="%1."/>
      <w:lvlJc w:val="left"/>
      <w:pPr>
        <w:tabs>
          <w:tab w:val="num" w:pos="792"/>
        </w:tabs>
        <w:ind w:left="792" w:hanging="360"/>
      </w:pPr>
      <w:rPr>
        <w:rFonts w:cs="Times New Roman" w:hint="default"/>
      </w:rPr>
    </w:lvl>
    <w:lvl w:ilvl="1">
      <w:start w:val="1"/>
      <w:numFmt w:val="lowerLetter"/>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abstractNum w:abstractNumId="1" w15:restartNumberingAfterBreak="0">
    <w:nsid w:val="56AE2194"/>
    <w:multiLevelType w:val="multilevel"/>
    <w:tmpl w:val="238ACB4A"/>
    <w:lvl w:ilvl="0">
      <w:start w:val="3"/>
      <w:numFmt w:val="decimal"/>
      <w:lvlText w:val="%1."/>
      <w:lvlJc w:val="left"/>
      <w:pPr>
        <w:tabs>
          <w:tab w:val="num" w:pos="792"/>
        </w:tabs>
        <w:ind w:left="792" w:hanging="360"/>
      </w:pPr>
      <w:rPr>
        <w:rFonts w:cs="Times New Roman" w:hint="default"/>
      </w:rPr>
    </w:lvl>
    <w:lvl w:ilvl="1">
      <w:start w:val="1"/>
      <w:numFmt w:val="lowerLetter"/>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B9"/>
    <w:rsid w:val="002F0ABB"/>
    <w:rsid w:val="004457F9"/>
    <w:rsid w:val="004E39BA"/>
    <w:rsid w:val="006D0AD6"/>
    <w:rsid w:val="008A7AA6"/>
    <w:rsid w:val="00BE103C"/>
    <w:rsid w:val="00D23149"/>
    <w:rsid w:val="00DA40B9"/>
    <w:rsid w:val="00E402A0"/>
    <w:rsid w:val="00F20F3C"/>
    <w:rsid w:val="00FF23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D721FA-7D02-4AEC-85BB-CD2F98C0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40B9"/>
    <w:pPr>
      <w:autoSpaceDE w:val="0"/>
      <w:autoSpaceDN w:val="0"/>
    </w:pPr>
    <w:rPr>
      <w:sz w:val="24"/>
      <w:szCs w:val="24"/>
    </w:rPr>
  </w:style>
  <w:style w:type="paragraph" w:styleId="berschrift1">
    <w:name w:val="heading 1"/>
    <w:basedOn w:val="Standard"/>
    <w:next w:val="Standard"/>
    <w:link w:val="berschrift1Zchn"/>
    <w:qFormat/>
    <w:rsid w:val="00DA40B9"/>
    <w:pPr>
      <w:keepNext/>
      <w:keepLines/>
      <w:spacing w:before="480"/>
      <w:outlineLvl w:val="0"/>
    </w:pPr>
    <w:rPr>
      <w:rFonts w:ascii="Cambria" w:hAnsi="Cambria"/>
      <w:b/>
      <w:bCs/>
      <w:color w:val="365F91"/>
      <w:sz w:val="28"/>
      <w:szCs w:val="28"/>
    </w:rPr>
  </w:style>
  <w:style w:type="paragraph" w:styleId="berschrift3">
    <w:name w:val="heading 3"/>
    <w:basedOn w:val="Standard"/>
    <w:next w:val="Standard"/>
    <w:link w:val="berschrift3Zchn"/>
    <w:qFormat/>
    <w:rsid w:val="00DA40B9"/>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DA40B9"/>
    <w:pPr>
      <w:tabs>
        <w:tab w:val="center" w:pos="4536"/>
        <w:tab w:val="right" w:pos="9072"/>
      </w:tabs>
    </w:pPr>
    <w:rPr>
      <w:rFonts w:ascii="Arial" w:hAnsi="Arial" w:cs="Arial"/>
      <w:sz w:val="22"/>
      <w:szCs w:val="22"/>
    </w:rPr>
  </w:style>
  <w:style w:type="character" w:customStyle="1" w:styleId="FuzeileZchn">
    <w:name w:val="Fußzeile Zchn"/>
    <w:link w:val="Fuzeile"/>
    <w:rsid w:val="00DA40B9"/>
    <w:rPr>
      <w:rFonts w:ascii="Arial" w:hAnsi="Arial" w:cs="Arial"/>
      <w:sz w:val="22"/>
      <w:szCs w:val="22"/>
      <w:lang w:val="de-DE" w:eastAsia="de-DE" w:bidi="ar-SA"/>
    </w:rPr>
  </w:style>
  <w:style w:type="character" w:customStyle="1" w:styleId="berschrift3Zchn">
    <w:name w:val="Überschrift 3 Zchn"/>
    <w:link w:val="berschrift3"/>
    <w:semiHidden/>
    <w:rsid w:val="00DA40B9"/>
    <w:rPr>
      <w:rFonts w:ascii="Cambria" w:hAnsi="Cambria"/>
      <w:b/>
      <w:bCs/>
      <w:color w:val="4F81BD"/>
      <w:sz w:val="24"/>
      <w:szCs w:val="24"/>
      <w:lang w:val="de-DE" w:eastAsia="de-DE" w:bidi="ar-SA"/>
    </w:rPr>
  </w:style>
  <w:style w:type="character" w:customStyle="1" w:styleId="berschrift1Zchn">
    <w:name w:val="Überschrift 1 Zchn"/>
    <w:link w:val="berschrift1"/>
    <w:rsid w:val="00DA40B9"/>
    <w:rPr>
      <w:rFonts w:ascii="Cambria" w:hAnsi="Cambria"/>
      <w:b/>
      <w:bCs/>
      <w:color w:val="365F91"/>
      <w:sz w:val="28"/>
      <w:szCs w:val="28"/>
      <w:lang w:val="de-DE" w:eastAsia="de-DE" w:bidi="ar-SA"/>
    </w:rPr>
  </w:style>
  <w:style w:type="paragraph" w:styleId="Listenabsatz">
    <w:name w:val="List Paragraph"/>
    <w:basedOn w:val="Standard"/>
    <w:qFormat/>
    <w:rsid w:val="00DA4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1963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Merkblatt zur schriftlichen Stimmabgabe</vt:lpstr>
    </vt:vector>
  </TitlesOfParts>
  <Company>LRA Erzgebirgskreis</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zur schriftlichen Stimmabgabe</dc:title>
  <dc:subject/>
  <dc:creator>FickerAndre</dc:creator>
  <cp:keywords/>
  <cp:lastModifiedBy>Boesze, Imre</cp:lastModifiedBy>
  <cp:revision>3</cp:revision>
  <cp:lastPrinted>2011-04-05T11:03:00Z</cp:lastPrinted>
  <dcterms:created xsi:type="dcterms:W3CDTF">2021-02-27T16:21:00Z</dcterms:created>
  <dcterms:modified xsi:type="dcterms:W3CDTF">2021-03-01T09:50:00Z</dcterms:modified>
</cp:coreProperties>
</file>