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49" w:rsidRPr="00085F94" w:rsidRDefault="004A3975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Örtlicher </w:t>
      </w:r>
      <w:r w:rsidR="009B5849" w:rsidRPr="00085F94">
        <w:rPr>
          <w:b/>
          <w:sz w:val="22"/>
          <w:szCs w:val="22"/>
        </w:rPr>
        <w:t>Personalrat/ Bezirkspersonalrat/ Hauptpersonalrat/</w:t>
      </w:r>
    </w:p>
    <w:p w:rsidR="009B5849" w:rsidRPr="00085F94" w:rsidRDefault="009B5849">
      <w:pPr>
        <w:rPr>
          <w:b/>
          <w:sz w:val="22"/>
          <w:szCs w:val="22"/>
        </w:rPr>
      </w:pPr>
      <w:r w:rsidRPr="00085F94">
        <w:rPr>
          <w:b/>
          <w:sz w:val="22"/>
          <w:szCs w:val="22"/>
        </w:rPr>
        <w:t>Gesamtpersonalrat/ Dienststellenleiter *)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__________________________________________________</w:t>
      </w: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(Dienststelle)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B66B16" w:rsidRDefault="00B66B16" w:rsidP="00B66B16">
      <w:pPr>
        <w:jc w:val="center"/>
        <w:rPr>
          <w:b/>
          <w:sz w:val="28"/>
          <w:szCs w:val="28"/>
        </w:rPr>
      </w:pPr>
      <w:r w:rsidRPr="00B66B16">
        <w:rPr>
          <w:b/>
          <w:sz w:val="28"/>
          <w:szCs w:val="28"/>
        </w:rPr>
        <w:t>Wahlinformation</w:t>
      </w: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F152FD" w:rsidRDefault="009B5849">
      <w:pPr>
        <w:pStyle w:val="berschrift2"/>
        <w:rPr>
          <w:rFonts w:ascii="Arial" w:hAnsi="Arial" w:cs="Arial"/>
          <w:sz w:val="22"/>
          <w:szCs w:val="22"/>
        </w:rPr>
      </w:pPr>
      <w:r w:rsidRPr="00F152FD">
        <w:rPr>
          <w:rFonts w:ascii="Arial" w:hAnsi="Arial" w:cs="Arial"/>
          <w:sz w:val="22"/>
          <w:szCs w:val="22"/>
        </w:rPr>
        <w:t xml:space="preserve">Mitteilung </w:t>
      </w:r>
      <w:r w:rsidR="004A3975" w:rsidRPr="00F152FD">
        <w:rPr>
          <w:rFonts w:ascii="Arial" w:hAnsi="Arial" w:cs="Arial"/>
          <w:sz w:val="22"/>
          <w:szCs w:val="22"/>
        </w:rPr>
        <w:t xml:space="preserve">über </w:t>
      </w:r>
      <w:r w:rsidR="00F152FD" w:rsidRPr="00F152FD">
        <w:rPr>
          <w:rFonts w:ascii="Arial" w:hAnsi="Arial" w:cs="Arial"/>
          <w:sz w:val="22"/>
          <w:szCs w:val="22"/>
        </w:rPr>
        <w:t xml:space="preserve">das Hinausschieben, </w:t>
      </w:r>
      <w:r w:rsidR="004A3975" w:rsidRPr="00F152FD">
        <w:rPr>
          <w:rFonts w:ascii="Arial" w:hAnsi="Arial" w:cs="Arial"/>
          <w:sz w:val="22"/>
          <w:szCs w:val="22"/>
        </w:rPr>
        <w:t xml:space="preserve">die </w:t>
      </w:r>
      <w:r w:rsidR="00F152FD" w:rsidRPr="00F152FD">
        <w:rPr>
          <w:rFonts w:ascii="Arial" w:hAnsi="Arial" w:cs="Arial"/>
          <w:sz w:val="22"/>
          <w:szCs w:val="22"/>
        </w:rPr>
        <w:t>Unterbrechung oder den Abbruch der Personalratswahlen</w:t>
      </w:r>
    </w:p>
    <w:p w:rsidR="009B5849" w:rsidRPr="00F152FD" w:rsidRDefault="009B5849">
      <w:pPr>
        <w:rPr>
          <w:sz w:val="22"/>
          <w:szCs w:val="22"/>
          <w:u w:val="single"/>
        </w:rPr>
      </w:pPr>
    </w:p>
    <w:p w:rsidR="00B66B16" w:rsidRDefault="00B66B16">
      <w:pPr>
        <w:rPr>
          <w:sz w:val="22"/>
          <w:szCs w:val="22"/>
        </w:rPr>
      </w:pPr>
    </w:p>
    <w:p w:rsidR="00F152FD" w:rsidRPr="00F152FD" w:rsidRDefault="00F152FD">
      <w:pPr>
        <w:rPr>
          <w:sz w:val="22"/>
          <w:szCs w:val="22"/>
        </w:rPr>
      </w:pPr>
      <w:r w:rsidRPr="00F152FD">
        <w:rPr>
          <w:sz w:val="22"/>
          <w:szCs w:val="22"/>
        </w:rPr>
        <w:t xml:space="preserve">Hiermit informieren wir über die Verschiebung, die Unterbrechung, den Abbruch der Personalratswahlen, weil bezüglich der COVID-19 </w:t>
      </w:r>
      <w:proofErr w:type="gramStart"/>
      <w:r w:rsidRPr="00F152FD">
        <w:rPr>
          <w:sz w:val="22"/>
          <w:szCs w:val="22"/>
        </w:rPr>
        <w:t>Pandemie</w:t>
      </w:r>
      <w:proofErr w:type="gramEnd"/>
      <w:r w:rsidRPr="00F152FD">
        <w:rPr>
          <w:sz w:val="22"/>
          <w:szCs w:val="22"/>
        </w:rPr>
        <w:t xml:space="preserve"> eine ordnungsgemäße Durchführung der Personalratswahl nicht sichergestellt werden kann. </w:t>
      </w:r>
    </w:p>
    <w:p w:rsidR="00F152FD" w:rsidRPr="00F152FD" w:rsidRDefault="00F152FD">
      <w:pPr>
        <w:rPr>
          <w:sz w:val="22"/>
          <w:szCs w:val="22"/>
        </w:rPr>
      </w:pPr>
    </w:p>
    <w:p w:rsidR="00F152FD" w:rsidRPr="00F152FD" w:rsidRDefault="00F152FD">
      <w:pPr>
        <w:rPr>
          <w:sz w:val="22"/>
          <w:szCs w:val="22"/>
        </w:rPr>
      </w:pPr>
      <w:r w:rsidRPr="00F152FD">
        <w:rPr>
          <w:sz w:val="22"/>
          <w:szCs w:val="22"/>
        </w:rPr>
        <w:t xml:space="preserve">Sobald die Personalratswahl wieder durchgeführt </w:t>
      </w:r>
      <w:r w:rsidR="00A61C3C">
        <w:rPr>
          <w:sz w:val="22"/>
          <w:szCs w:val="22"/>
        </w:rPr>
        <w:t xml:space="preserve">/ fortgesetzt </w:t>
      </w:r>
      <w:r w:rsidRPr="00F152FD">
        <w:rPr>
          <w:sz w:val="22"/>
          <w:szCs w:val="22"/>
        </w:rPr>
        <w:t>werden kann, setzten wir Sie unverzüglich davon in Kenntnis.</w:t>
      </w:r>
    </w:p>
    <w:p w:rsidR="00F152FD" w:rsidRPr="00F152FD" w:rsidRDefault="00F152FD">
      <w:pPr>
        <w:rPr>
          <w:sz w:val="22"/>
          <w:szCs w:val="22"/>
        </w:rPr>
      </w:pPr>
    </w:p>
    <w:p w:rsidR="00F152FD" w:rsidRPr="00F152FD" w:rsidRDefault="00F152FD" w:rsidP="00F152FD">
      <w:pPr>
        <w:adjustRightInd w:val="0"/>
        <w:rPr>
          <w:bCs/>
          <w:sz w:val="22"/>
          <w:szCs w:val="22"/>
        </w:rPr>
      </w:pPr>
      <w:r w:rsidRPr="00F152FD">
        <w:rPr>
          <w:bCs/>
          <w:sz w:val="22"/>
          <w:szCs w:val="22"/>
        </w:rPr>
        <w:t>Gesetz</w:t>
      </w:r>
      <w:r>
        <w:rPr>
          <w:bCs/>
          <w:sz w:val="22"/>
          <w:szCs w:val="22"/>
        </w:rPr>
        <w:t xml:space="preserve"> </w:t>
      </w:r>
      <w:r w:rsidRPr="00F152FD">
        <w:rPr>
          <w:bCs/>
          <w:sz w:val="22"/>
          <w:szCs w:val="22"/>
        </w:rPr>
        <w:t>zur Durchführung der regelmäßigen Personalratswahlen 2021 und zum Erhalt der Arbeitsfähigkeit der Personalvertretungen in Sachsen während der COVID-19-Pandemie</w:t>
      </w:r>
    </w:p>
    <w:p w:rsidR="009B5849" w:rsidRPr="00F152FD" w:rsidRDefault="00F152FD" w:rsidP="00F152FD">
      <w:pPr>
        <w:adjustRightInd w:val="0"/>
        <w:rPr>
          <w:bCs/>
          <w:sz w:val="22"/>
          <w:szCs w:val="22"/>
        </w:rPr>
      </w:pPr>
      <w:r w:rsidRPr="00F152FD">
        <w:rPr>
          <w:bCs/>
          <w:sz w:val="22"/>
          <w:szCs w:val="22"/>
        </w:rPr>
        <w:t>(Personalratswahlgesetz 2021) vom 3. Februar 2021.</w:t>
      </w:r>
    </w:p>
    <w:p w:rsidR="00F152FD" w:rsidRPr="00F152FD" w:rsidRDefault="00F152FD" w:rsidP="00F152FD">
      <w:pPr>
        <w:adjustRightInd w:val="0"/>
        <w:rPr>
          <w:sz w:val="22"/>
          <w:szCs w:val="22"/>
        </w:rPr>
      </w:pPr>
    </w:p>
    <w:p w:rsidR="00B66B16" w:rsidRDefault="00F152FD" w:rsidP="004A3975">
      <w:pPr>
        <w:adjustRightInd w:val="0"/>
        <w:rPr>
          <w:sz w:val="22"/>
          <w:szCs w:val="22"/>
        </w:rPr>
      </w:pPr>
      <w:r w:rsidRPr="00F152FD">
        <w:rPr>
          <w:sz w:val="22"/>
          <w:szCs w:val="22"/>
        </w:rPr>
        <w:t xml:space="preserve">§ </w:t>
      </w:r>
      <w:r w:rsidR="0065393A">
        <w:rPr>
          <w:sz w:val="22"/>
          <w:szCs w:val="22"/>
        </w:rPr>
        <w:t>2 Absatz 3</w:t>
      </w:r>
      <w:r>
        <w:rPr>
          <w:sz w:val="22"/>
          <w:szCs w:val="22"/>
        </w:rPr>
        <w:t xml:space="preserve"> </w:t>
      </w:r>
      <w:r w:rsidR="0065393A">
        <w:rPr>
          <w:sz w:val="22"/>
          <w:szCs w:val="22"/>
        </w:rPr>
        <w:t>Durchführung der regelmäßigen Personalratswahlen</w:t>
      </w:r>
      <w:bookmarkStart w:id="0" w:name="_GoBack"/>
      <w:bookmarkEnd w:id="0"/>
    </w:p>
    <w:p w:rsidR="004A3975" w:rsidRPr="00F152FD" w:rsidRDefault="00F152FD" w:rsidP="004A3975">
      <w:pPr>
        <w:adjustRightInd w:val="0"/>
        <w:rPr>
          <w:sz w:val="22"/>
          <w:szCs w:val="22"/>
        </w:rPr>
      </w:pPr>
      <w:r w:rsidRPr="00F152FD">
        <w:rPr>
          <w:sz w:val="22"/>
          <w:szCs w:val="22"/>
        </w:rPr>
        <w:br/>
      </w:r>
      <w:r w:rsidR="004A3975" w:rsidRPr="00F152FD">
        <w:rPr>
          <w:sz w:val="22"/>
          <w:szCs w:val="22"/>
        </w:rPr>
        <w:t>Die Wahlvorstände können nach ihrer Bestellung den</w:t>
      </w:r>
      <w:r w:rsidRPr="00F152FD">
        <w:rPr>
          <w:sz w:val="22"/>
          <w:szCs w:val="22"/>
        </w:rPr>
        <w:t xml:space="preserve"> </w:t>
      </w:r>
      <w:r w:rsidR="004A3975" w:rsidRPr="00F152FD">
        <w:rPr>
          <w:sz w:val="22"/>
          <w:szCs w:val="22"/>
        </w:rPr>
        <w:t>Beginn des Wahlverfahrens hinausschieben oder ein begonnenes</w:t>
      </w:r>
      <w:r w:rsidRPr="00F152FD">
        <w:rPr>
          <w:sz w:val="22"/>
          <w:szCs w:val="22"/>
        </w:rPr>
        <w:t xml:space="preserve"> </w:t>
      </w:r>
      <w:r w:rsidR="004A3975" w:rsidRPr="00F152FD">
        <w:rPr>
          <w:sz w:val="22"/>
          <w:szCs w:val="22"/>
        </w:rPr>
        <w:t>Wahlverfahren zu jedem Zeitpunkt unterbrechen</w:t>
      </w:r>
      <w:r w:rsidRPr="00F152FD">
        <w:rPr>
          <w:sz w:val="22"/>
          <w:szCs w:val="22"/>
        </w:rPr>
        <w:t xml:space="preserve"> </w:t>
      </w:r>
      <w:r w:rsidR="004A3975" w:rsidRPr="00F152FD">
        <w:rPr>
          <w:sz w:val="22"/>
          <w:szCs w:val="22"/>
        </w:rPr>
        <w:t>sowie abbrechen, soweit wegen der COVID-19-Pandemie</w:t>
      </w:r>
      <w:r>
        <w:rPr>
          <w:sz w:val="22"/>
          <w:szCs w:val="22"/>
        </w:rPr>
        <w:t xml:space="preserve"> </w:t>
      </w:r>
      <w:r w:rsidR="004A3975" w:rsidRPr="00F152FD">
        <w:rPr>
          <w:sz w:val="22"/>
          <w:szCs w:val="22"/>
        </w:rPr>
        <w:t>eine ordnungsgemäße Durchführung der Personalratswahl</w:t>
      </w:r>
      <w:r w:rsidRPr="00F152FD">
        <w:rPr>
          <w:sz w:val="22"/>
          <w:szCs w:val="22"/>
        </w:rPr>
        <w:t xml:space="preserve"> </w:t>
      </w:r>
      <w:r w:rsidR="004A3975" w:rsidRPr="00F152FD">
        <w:rPr>
          <w:sz w:val="22"/>
          <w:szCs w:val="22"/>
        </w:rPr>
        <w:t>voraussichtlich nicht sichergestellt werden kann. Sie beginnen</w:t>
      </w:r>
    </w:p>
    <w:p w:rsidR="009B5849" w:rsidRPr="00F152FD" w:rsidRDefault="004A3975" w:rsidP="00F152FD">
      <w:pPr>
        <w:adjustRightInd w:val="0"/>
        <w:rPr>
          <w:sz w:val="22"/>
          <w:szCs w:val="22"/>
        </w:rPr>
      </w:pPr>
      <w:r w:rsidRPr="00F152FD">
        <w:rPr>
          <w:sz w:val="22"/>
          <w:szCs w:val="22"/>
        </w:rPr>
        <w:t>unverzüglich mit dem Wahlverfahren, setzen ein Wahlverfahren</w:t>
      </w:r>
      <w:r w:rsidR="00F152FD" w:rsidRP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fort und ergänzen die Wahlbekanntmachungen in</w:t>
      </w:r>
      <w:r w:rsid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dem erforderlichen Umfang oder beginnen erneut mit dem</w:t>
      </w:r>
      <w:r w:rsidR="00F152FD" w:rsidRP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Wahlverfahren, sobald eine ordnungsgemäße Durchführung</w:t>
      </w:r>
      <w:r w:rsid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der Personalratswahl voraussichtlich möglich ist. Entscheidungen</w:t>
      </w:r>
      <w:r w:rsidR="00F152FD" w:rsidRP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der Wahlvorstände nach Satz 1 sind auch dann wirksam,</w:t>
      </w:r>
      <w:r w:rsidR="00F152FD" w:rsidRPr="00F152FD">
        <w:rPr>
          <w:sz w:val="22"/>
          <w:szCs w:val="22"/>
        </w:rPr>
        <w:t xml:space="preserve"> </w:t>
      </w:r>
      <w:r w:rsidRPr="00F152FD">
        <w:rPr>
          <w:sz w:val="22"/>
          <w:szCs w:val="22"/>
        </w:rPr>
        <w:t>wenn sie vor dem 14. Februar 2021 getroffen wurden.</w:t>
      </w:r>
    </w:p>
    <w:p w:rsidR="009B5849" w:rsidRPr="00085F94" w:rsidRDefault="009B5849">
      <w:pPr>
        <w:rPr>
          <w:sz w:val="22"/>
          <w:szCs w:val="22"/>
        </w:rPr>
      </w:pPr>
    </w:p>
    <w:p w:rsidR="009B5849" w:rsidRDefault="009B5849">
      <w:pPr>
        <w:rPr>
          <w:sz w:val="22"/>
          <w:szCs w:val="22"/>
        </w:rPr>
      </w:pPr>
    </w:p>
    <w:p w:rsidR="004A3975" w:rsidRDefault="004A3975">
      <w:pPr>
        <w:rPr>
          <w:sz w:val="22"/>
          <w:szCs w:val="22"/>
        </w:rPr>
      </w:pPr>
    </w:p>
    <w:p w:rsidR="004A3975" w:rsidRDefault="004A3975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tabs>
          <w:tab w:val="left" w:pos="1134"/>
        </w:tabs>
        <w:rPr>
          <w:sz w:val="22"/>
          <w:szCs w:val="22"/>
        </w:rPr>
      </w:pPr>
      <w:r w:rsidRPr="00085F94">
        <w:rPr>
          <w:sz w:val="22"/>
          <w:szCs w:val="22"/>
        </w:rPr>
        <w:tab/>
        <w:t>(Unterschrift)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2835"/>
          <w:tab w:val="right" w:pos="4536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  <w:t xml:space="preserve">den </w:t>
      </w: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tabs>
          <w:tab w:val="left" w:pos="1134"/>
          <w:tab w:val="left" w:pos="3119"/>
        </w:tabs>
        <w:rPr>
          <w:sz w:val="22"/>
          <w:szCs w:val="22"/>
        </w:rPr>
      </w:pPr>
      <w:r w:rsidRPr="00085F94">
        <w:rPr>
          <w:sz w:val="22"/>
          <w:szCs w:val="22"/>
        </w:rPr>
        <w:tab/>
        <w:t>Ort</w:t>
      </w:r>
      <w:r w:rsidRPr="00085F94">
        <w:rPr>
          <w:sz w:val="22"/>
          <w:szCs w:val="22"/>
        </w:rPr>
        <w:tab/>
        <w:t>Datum</w:t>
      </w:r>
    </w:p>
    <w:p w:rsidR="009B5849" w:rsidRDefault="009B5849">
      <w:pPr>
        <w:rPr>
          <w:rFonts w:ascii="Times New Roman" w:hAnsi="Times New Roman" w:cs="Times New Roman"/>
          <w:sz w:val="22"/>
        </w:rPr>
      </w:pPr>
    </w:p>
    <w:p w:rsidR="009B5849" w:rsidRDefault="009B5849">
      <w:pPr>
        <w:rPr>
          <w:sz w:val="20"/>
        </w:rPr>
      </w:pPr>
    </w:p>
    <w:p w:rsidR="00B66B16" w:rsidRDefault="00B66B16">
      <w:pPr>
        <w:rPr>
          <w:sz w:val="20"/>
        </w:rPr>
      </w:pPr>
    </w:p>
    <w:p w:rsidR="009B5849" w:rsidRDefault="009B5849">
      <w:pPr>
        <w:rPr>
          <w:sz w:val="20"/>
        </w:rPr>
      </w:pPr>
    </w:p>
    <w:p w:rsidR="009B5849" w:rsidRDefault="009B5849">
      <w:pPr>
        <w:rPr>
          <w:sz w:val="16"/>
        </w:rPr>
      </w:pPr>
      <w:r>
        <w:rPr>
          <w:sz w:val="16"/>
        </w:rPr>
        <w:t>*) Nichtzutreffendes streichen</w:t>
      </w:r>
    </w:p>
    <w:sectPr w:rsidR="009B5849">
      <w:pgSz w:w="11906" w:h="16838"/>
      <w:pgMar w:top="1134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49"/>
    <w:rsid w:val="00085F94"/>
    <w:rsid w:val="0019397C"/>
    <w:rsid w:val="004A3975"/>
    <w:rsid w:val="0065393A"/>
    <w:rsid w:val="007438D7"/>
    <w:rsid w:val="009B5849"/>
    <w:rsid w:val="00A61C3C"/>
    <w:rsid w:val="00B66B16"/>
    <w:rsid w:val="00CC05F1"/>
    <w:rsid w:val="00E03A90"/>
    <w:rsid w:val="00F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D729-E0ED-413D-BC93-3D17C08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jc w:val="righ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 w:cs="Times New Roman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01</vt:lpstr>
    </vt:vector>
  </TitlesOfParts>
  <Company>sbb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01</dc:title>
  <dc:subject/>
  <dc:creator>André Ficker</dc:creator>
  <cp:keywords/>
  <dc:description/>
  <cp:lastModifiedBy>Bösze, Imre - SMWK</cp:lastModifiedBy>
  <cp:revision>6</cp:revision>
  <dcterms:created xsi:type="dcterms:W3CDTF">2021-03-01T13:36:00Z</dcterms:created>
  <dcterms:modified xsi:type="dcterms:W3CDTF">2021-03-03T12:20:00Z</dcterms:modified>
</cp:coreProperties>
</file>